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E50E62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E50E62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1C2A30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11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E50E62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E50E62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E50E62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937408" w:rsidRPr="004025E0" w:rsidRDefault="00E50E62" w:rsidP="004025E0">
      <w:pPr>
        <w:autoSpaceDE w:val="0"/>
        <w:autoSpaceDN w:val="0"/>
        <w:adjustRightInd w:val="0"/>
        <w:spacing w:before="240" w:after="120"/>
        <w:ind w:left="450" w:right="158"/>
        <w:jc w:val="center"/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</w:pPr>
      <w:r w:rsidRPr="00E50E62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pict>
          <v:roundrect id="AutoShape 11" o:spid="_x0000_s1027" alt="Description: Stationery" style="position:absolute;left:0;text-align:left;margin-left:52.65pt;margin-top:174.65pt;width:488.75pt;height:30.1pt;z-index:-2516490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AutoShape 11">
              <w:txbxContent>
                <w:p w:rsidR="0038070D" w:rsidRPr="006C7E19" w:rsidRDefault="0038070D" w:rsidP="00CB77AB">
                  <w:pPr>
                    <w:autoSpaceDE w:val="0"/>
                    <w:autoSpaceDN w:val="0"/>
                    <w:adjustRightInd w:val="0"/>
                    <w:spacing w:before="360" w:after="60"/>
                    <w:ind w:left="360" w:right="-45" w:hanging="360"/>
                    <w:jc w:val="both"/>
                    <w:rPr>
                      <w:rFonts w:ascii="Cambria" w:eastAsia="Times" w:hAnsi="Cambria" w:cs="Cambria"/>
                      <w:b/>
                      <w:bCs/>
                    </w:rPr>
                  </w:pPr>
                </w:p>
              </w:txbxContent>
            </v:textbox>
            <w10:wrap anchorx="page" anchory="page"/>
          </v:roundrect>
        </w:pict>
      </w:r>
      <w:r w:rsidR="00B325A6" w:rsidRPr="00B325A6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>“The problems we have today, cannot be solved by thinking the way we thought when we created them.”</w:t>
      </w:r>
      <w:r w:rsidR="0034278E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 xml:space="preserve"> </w:t>
      </w:r>
      <w:r w:rsidR="00B325A6" w:rsidRPr="00B325A6">
        <w:rPr>
          <w:rFonts w:asciiTheme="majorHAnsi" w:eastAsia="Times New Roman" w:hAnsiTheme="majorHAnsi" w:cs="Times New Roman"/>
          <w:i/>
          <w:color w:val="002060"/>
          <w:sz w:val="20"/>
          <w:szCs w:val="20"/>
          <w:lang w:eastAsia="en-IN"/>
        </w:rPr>
        <w:t xml:space="preserve"> - Albert Einstein</w:t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5A6F11" w:rsidRDefault="00E50E62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  <w:hyperlink r:id="rId10" w:history="1">
        <w:r w:rsidR="003B416A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RBI:</w:t>
        </w:r>
      </w:hyperlink>
      <w:r w:rsidR="003B416A">
        <w:t xml:space="preserve"> </w:t>
      </w:r>
      <w:hyperlink r:id="rId11" w:tgtFrame="_blank" w:history="1">
        <w:r w:rsidR="003B416A" w:rsidRPr="003B416A">
          <w:rPr>
            <w:rFonts w:asciiTheme="majorHAnsi" w:hAnsiTheme="majorHAnsi"/>
            <w:b w:val="0"/>
            <w:bCs w:val="0"/>
            <w:color w:val="002060"/>
            <w:sz w:val="20"/>
            <w:szCs w:val="20"/>
          </w:rPr>
          <w:t>Rural Cooperatives: Repositioning - Shri R. Gandhi, DG - February 9, 2016 - at the “National Conference of Cooperative Banks – Regaining Leadership in Agricultural Finance” held at BIRD, Lucknow</w:t>
        </w:r>
      </w:hyperlink>
    </w:p>
    <w:p w:rsidR="008A0ECD" w:rsidRPr="008A0ECD" w:rsidRDefault="00E50E62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r:id="rId12" w:history="1">
        <w:r w:rsidR="008A0ECD"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Lecture by Sri Shashi Kant Sharma C&amp; AG on Accountability in PPP.</w:t>
        </w:r>
      </w:hyperlink>
      <w:r w:rsidR="008A0ECD" w:rsidRPr="008A0ECD"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  <w:t xml:space="preserve"> </w:t>
      </w:r>
    </w:p>
    <w:p w:rsidR="008A0ECD" w:rsidRPr="008A0ECD" w:rsidRDefault="00E50E62" w:rsidP="005A6F1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  <w:hyperlink r:id="rId13" w:history="1">
        <w:r w:rsidR="008A0ECD"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Towards a Knowledge Society: A movie on National Knowledge Commission</w:t>
        </w:r>
      </w:hyperlink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400D40" w:rsidRPr="00400D40" w:rsidRDefault="00400D40" w:rsidP="00400D40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r:id="rId14" w:history="1">
        <w:r w:rsidRPr="00400D40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IRDAI Exposure draft: Insurance Regulatory And Development Authority Of India (Issuance Of E-Insurance Policies) Regulations, 2016</w:t>
        </w:r>
      </w:hyperlink>
    </w:p>
    <w:p w:rsidR="003B416A" w:rsidRPr="008A0ECD" w:rsidRDefault="003A3A61" w:rsidP="00AE1E4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A0EC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IRDAI Circular: </w:t>
      </w:r>
      <w:hyperlink r:id="rId15" w:history="1">
        <w:r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Clarif</w:t>
        </w:r>
        <w:r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i</w:t>
        </w:r>
        <w:r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 xml:space="preserve">cation issued regarding </w:t>
        </w:r>
        <w:r w:rsidR="003B416A"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sourcing/servicing of motor business through Agent and intermediaries.</w:t>
        </w:r>
      </w:hyperlink>
    </w:p>
    <w:p w:rsidR="003A3A61" w:rsidRPr="008A0ECD" w:rsidRDefault="003B416A" w:rsidP="00AE1E4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8A0ECD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IRDAI Circular: </w:t>
      </w:r>
      <w:hyperlink r:id="rId16" w:history="1">
        <w:r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Regarding Industrial all risk p</w:t>
        </w:r>
        <w:r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o</w:t>
        </w:r>
        <w:r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licy (IAR) policy</w:t>
        </w:r>
      </w:hyperlink>
    </w:p>
    <w:p w:rsidR="00205184" w:rsidRPr="008A0ECD" w:rsidRDefault="00E50E62" w:rsidP="00AE1E4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color w:val="002060"/>
          <w:sz w:val="22"/>
          <w:szCs w:val="22"/>
        </w:rPr>
      </w:pPr>
      <w:hyperlink r:id="rId17" w:history="1">
        <w:r w:rsidR="00205184"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Steps taken by Income Tax Department for safeguarding taxpayers from Phishing emails </w:t>
        </w:r>
      </w:hyperlink>
    </w:p>
    <w:p w:rsidR="00073E0B" w:rsidRPr="008A0ECD" w:rsidRDefault="00E50E62" w:rsidP="00AE1E41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r:id="rId18" w:history="1">
        <w:r w:rsidR="00073E0B" w:rsidRPr="008A0ECD">
          <w:rPr>
            <w:rFonts w:asciiTheme="minorHAnsi" w:eastAsiaTheme="minorEastAsia" w:hAnsiTheme="minorHAnsi" w:cstheme="minorBidi"/>
            <w:b w:val="0"/>
            <w:color w:val="002060"/>
            <w:sz w:val="22"/>
            <w:szCs w:val="22"/>
          </w:rPr>
          <w:t>Shri Kalraj Mishra reviews MSME Procurement Policy </w:t>
        </w:r>
      </w:hyperlink>
    </w:p>
    <w:p w:rsidR="009F1735" w:rsidRPr="00C73CB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ajorHAnsi" w:hAnsiTheme="majorHAnsi"/>
          <w:b w:val="0"/>
          <w:bCs w:val="0"/>
          <w:color w:val="002060"/>
          <w:sz w:val="20"/>
          <w:szCs w:val="20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B325A6" w:rsidRPr="00B325A6" w:rsidRDefault="00E50E62" w:rsidP="00B325A6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eastAsia="Times New Roman" w:hAnsiTheme="majorHAnsi" w:cs="Times New Roman"/>
          <w:color w:val="002060"/>
          <w:sz w:val="20"/>
          <w:szCs w:val="20"/>
          <w:lang w:eastAsia="en-IN"/>
        </w:rPr>
      </w:pPr>
      <w:hyperlink r:id="rId19" w:tgtFrame="blank" w:history="1">
        <w:r w:rsidR="00B325A6" w:rsidRPr="00B325A6">
          <w:rPr>
            <w:color w:val="002060"/>
            <w:lang w:eastAsia="en-IN"/>
          </w:rPr>
          <w:t>Bhayander Chapter of ICSI is going to organise a Full Day Seminar on "Public Company - Compliances" on Sunday' 21st Feb 2016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before="120"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F97458" w:rsidRPr="00212482" w:rsidRDefault="00F97458" w:rsidP="008F4F52">
      <w:pPr>
        <w:pStyle w:val="ListParagraph"/>
        <w:spacing w:after="0"/>
        <w:jc w:val="center"/>
        <w:rPr>
          <w:rFonts w:asciiTheme="majorHAnsi" w:hAnsiTheme="majorHAnsi"/>
          <w:bCs/>
        </w:rPr>
      </w:pP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“</w:t>
      </w:r>
      <w:r w:rsidR="00B325A6" w:rsidRPr="00B325A6">
        <w:rPr>
          <w:rFonts w:eastAsia="Times New Roman"/>
          <w:i/>
          <w:iCs/>
          <w:color w:val="002060"/>
          <w:sz w:val="20"/>
          <w:szCs w:val="20"/>
          <w:lang w:val="en-IN" w:eastAsia="en-IN"/>
        </w:rPr>
        <w:t>nulla poena sine lege</w:t>
      </w:r>
      <w:r w:rsidRPr="00C73CB6">
        <w:rPr>
          <w:rStyle w:val="Hyperlink"/>
          <w:rFonts w:eastAsia="Times New Roman"/>
          <w:i/>
          <w:color w:val="002060"/>
          <w:sz w:val="20"/>
          <w:szCs w:val="20"/>
          <w:u w:val="none"/>
          <w:lang w:eastAsia="en-IN"/>
        </w:rPr>
        <w:t>”</w:t>
      </w:r>
    </w:p>
    <w:p w:rsidR="00AE1E41" w:rsidRDefault="00B325A6" w:rsidP="00AE1E41">
      <w:pPr>
        <w:spacing w:after="0"/>
        <w:jc w:val="center"/>
        <w:rPr>
          <w:rFonts w:asciiTheme="majorHAnsi" w:hAnsiTheme="majorHAnsi"/>
          <w:bCs/>
          <w:color w:val="002060"/>
          <w:sz w:val="20"/>
          <w:szCs w:val="20"/>
          <w:lang w:val="en-IN"/>
        </w:rPr>
      </w:pPr>
      <w:r w:rsidRPr="00B325A6">
        <w:rPr>
          <w:rFonts w:asciiTheme="majorHAnsi" w:hAnsiTheme="majorHAnsi"/>
          <w:bCs/>
          <w:color w:val="002060"/>
          <w:sz w:val="20"/>
          <w:szCs w:val="20"/>
          <w:lang w:val="en-IN"/>
        </w:rPr>
        <w:t>There is no offence without a law</w:t>
      </w:r>
    </w:p>
    <w:p w:rsidR="00937408" w:rsidRPr="00C73CB6" w:rsidRDefault="00937408" w:rsidP="00AE1E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B325A6">
        <w:rPr>
          <w:rFonts w:asciiTheme="majorHAnsi" w:hAnsiTheme="majorHAnsi"/>
          <w:bCs/>
          <w:color w:val="002060"/>
          <w:sz w:val="16"/>
          <w:szCs w:val="16"/>
        </w:rPr>
        <w:t>at 11:17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2270"/>
        <w:gridCol w:w="3027"/>
        <w:gridCol w:w="1780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SENSEX</w:t>
            </w:r>
          </w:p>
          <w:p w:rsidR="00937408" w:rsidRPr="00C73CB6" w:rsidRDefault="00B325A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23,536</w:t>
            </w:r>
            <w:r w:rsidR="00D10F00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(-222.36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NIFTY</w:t>
            </w:r>
          </w:p>
          <w:p w:rsidR="00937408" w:rsidRPr="00C73CB6" w:rsidRDefault="00B325A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7,144 (-71.40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GOLD (MCX) (Rs/10g.) </w:t>
            </w:r>
          </w:p>
          <w:p w:rsidR="00937408" w:rsidRPr="00C73CB6" w:rsidRDefault="00B325A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28665 (348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927" w:type="dxa"/>
          </w:tcPr>
          <w:p w:rsidR="00937408" w:rsidRPr="00C73CB6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USD/INR</w:t>
            </w:r>
          </w:p>
          <w:p w:rsidR="00937408" w:rsidRPr="00C73CB6" w:rsidRDefault="00B325A6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68.07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(0.21</w:t>
            </w:r>
            <w:r w:rsidR="00937408" w:rsidRPr="00C73CB6">
              <w:rPr>
                <w:rFonts w:asciiTheme="majorHAnsi" w:hAnsiTheme="majorHAnsi"/>
                <w:bCs/>
                <w:color w:val="002060"/>
                <w:sz w:val="20"/>
                <w:szCs w:val="20"/>
              </w:rPr>
              <w:t>)</w:t>
            </w:r>
          </w:p>
        </w:tc>
      </w:tr>
    </w:tbl>
    <w:p w:rsidR="00376AC8" w:rsidRPr="00C73CB6" w:rsidRDefault="00E50E62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E50E62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176F32" w:rsidRDefault="00176F32" w:rsidP="00176F32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176F32" w:rsidRPr="00C73CB6" w:rsidRDefault="00176F32" w:rsidP="002A6D9A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2060"/>
          <w:sz w:val="18"/>
          <w:szCs w:val="18"/>
          <w:lang w:eastAsia="en-IN"/>
        </w:rPr>
      </w:pPr>
    </w:p>
    <w:sectPr w:rsidR="00176F32" w:rsidRPr="00C73CB6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B48" w:rsidRDefault="00464B48" w:rsidP="00A833B6">
      <w:pPr>
        <w:spacing w:after="0" w:line="240" w:lineRule="auto"/>
      </w:pPr>
      <w:r>
        <w:separator/>
      </w:r>
    </w:p>
  </w:endnote>
  <w:endnote w:type="continuationSeparator" w:id="1">
    <w:p w:rsidR="00464B48" w:rsidRDefault="00464B4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B48" w:rsidRDefault="00464B48" w:rsidP="00A833B6">
      <w:pPr>
        <w:spacing w:after="0" w:line="240" w:lineRule="auto"/>
      </w:pPr>
      <w:r>
        <w:separator/>
      </w:r>
    </w:p>
  </w:footnote>
  <w:footnote w:type="continuationSeparator" w:id="1">
    <w:p w:rsidR="00464B48" w:rsidRDefault="00464B4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993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4A85"/>
    <w:rsid w:val="002C720C"/>
    <w:rsid w:val="002C7CE9"/>
    <w:rsid w:val="002D1E52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552C"/>
    <w:rsid w:val="004C6499"/>
    <w:rsid w:val="004D1CB4"/>
    <w:rsid w:val="004D2A79"/>
    <w:rsid w:val="004D355F"/>
    <w:rsid w:val="004D3A33"/>
    <w:rsid w:val="004D3AAF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7F95"/>
    <w:rsid w:val="00822046"/>
    <w:rsid w:val="00832517"/>
    <w:rsid w:val="0083390B"/>
    <w:rsid w:val="008355BB"/>
    <w:rsid w:val="00843822"/>
    <w:rsid w:val="00844442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331A"/>
    <w:rsid w:val="00904D95"/>
    <w:rsid w:val="00905FC1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C0048B"/>
    <w:rsid w:val="00C01880"/>
    <w:rsid w:val="00C0338F"/>
    <w:rsid w:val="00C03481"/>
    <w:rsid w:val="00C05C28"/>
    <w:rsid w:val="00C0793E"/>
    <w:rsid w:val="00C10D54"/>
    <w:rsid w:val="00C14FB7"/>
    <w:rsid w:val="00C15EA2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5088C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DA7"/>
    <w:rsid w:val="00C7008A"/>
    <w:rsid w:val="00C7022B"/>
    <w:rsid w:val="00C704F3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973"/>
    <w:rsid w:val="00D25F8A"/>
    <w:rsid w:val="00D267FF"/>
    <w:rsid w:val="00D276B1"/>
    <w:rsid w:val="00D315B6"/>
    <w:rsid w:val="00D31D73"/>
    <w:rsid w:val="00D326DF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492A"/>
    <w:rsid w:val="00EA777F"/>
    <w:rsid w:val="00EB1565"/>
    <w:rsid w:val="00EB1854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66E0"/>
    <w:rsid w:val="00EE0284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RF2cRIHcxA" TargetMode="External"/><Relationship Id="rId18" Type="http://schemas.openxmlformats.org/officeDocument/2006/relationships/hyperlink" Target="http://pib.nic.in/newsite/PrintRelease.aspx?relid=1361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cast.gov.in/cvc/" TargetMode="External"/><Relationship Id="rId17" Type="http://schemas.openxmlformats.org/officeDocument/2006/relationships/hyperlink" Target="http://pib.nic.in/newsite/PrintRelease.aspx?relid=13611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e0752\Downloads\Circular_025_2016%20(1)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99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rdai.gov.in/ADMINCMS/cms/LayoutPages_Print.aspx?page=PageNo2752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iti.gov.in/content/SDGs.php" TargetMode="External"/><Relationship Id="rId19" Type="http://schemas.openxmlformats.org/officeDocument/2006/relationships/hyperlink" Target="https://www.icsi.edu/Docs/Website/Bhayander_CircularApplForm_BankDetails21.02.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rdai.gov.in/ADMINCMS/cms/LayoutPages_Print.aspx?page=PageNo2753" TargetMode="External"/><Relationship Id="rId22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7</cp:revision>
  <cp:lastPrinted>2016-02-03T06:08:00Z</cp:lastPrinted>
  <dcterms:created xsi:type="dcterms:W3CDTF">2016-02-11T04:46:00Z</dcterms:created>
  <dcterms:modified xsi:type="dcterms:W3CDTF">2016-02-11T08:46:00Z</dcterms:modified>
</cp:coreProperties>
</file>